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1EE6" w14:textId="77777777" w:rsidR="005E08BB" w:rsidRPr="00B46CB3" w:rsidRDefault="00AB0419">
      <w:pPr>
        <w:pStyle w:val="Title"/>
        <w:rPr>
          <w:lang w:val="nb-NO"/>
        </w:rPr>
      </w:pPr>
      <w:r w:rsidRPr="00B46CB3">
        <w:rPr>
          <w:lang w:val="nb-NO"/>
        </w:rPr>
        <w:t>Redegjørelse for likestilling i RøhneSelmer 2024</w:t>
      </w:r>
    </w:p>
    <w:p w14:paraId="517F24D0" w14:textId="77777777" w:rsidR="005E08BB" w:rsidRDefault="00AB0419">
      <w:pPr>
        <w:pStyle w:val="Heading1"/>
        <w:rPr>
          <w:lang w:val="nb-NO"/>
        </w:rPr>
      </w:pPr>
      <w:r w:rsidRPr="00B46CB3">
        <w:rPr>
          <w:lang w:val="nb-NO"/>
        </w:rPr>
        <w:t>Del 1: Tilstand for kjønnslikestilling</w:t>
      </w:r>
    </w:p>
    <w:p w14:paraId="7A4F56D7" w14:textId="77777777" w:rsidR="009E5A5A" w:rsidRPr="009E5A5A" w:rsidRDefault="009E5A5A" w:rsidP="009E5A5A">
      <w:pPr>
        <w:rPr>
          <w:lang w:val="nb-NO"/>
        </w:rPr>
      </w:pPr>
    </w:p>
    <w:p w14:paraId="15B40F70" w14:textId="77777777" w:rsidR="005E08BB" w:rsidRPr="00B46CB3" w:rsidRDefault="00AB0419">
      <w:pPr>
        <w:pStyle w:val="Heading2"/>
        <w:rPr>
          <w:lang w:val="nb-NO"/>
        </w:rPr>
      </w:pPr>
      <w:r w:rsidRPr="00B46CB3">
        <w:rPr>
          <w:lang w:val="nb-NO"/>
        </w:rPr>
        <w:t>Kjønnsbalansen i virksomheten per 31.12.2024</w:t>
      </w:r>
    </w:p>
    <w:p w14:paraId="37C1074A" w14:textId="04A24FEC" w:rsidR="005E08BB" w:rsidRPr="00B46CB3" w:rsidRDefault="00AB0419">
      <w:pPr>
        <w:rPr>
          <w:lang w:val="nb-NO"/>
        </w:rPr>
      </w:pPr>
      <w:r w:rsidRPr="00B46CB3">
        <w:rPr>
          <w:lang w:val="nb-NO"/>
        </w:rPr>
        <w:t>Per 31. desember 2024 hadde RøhneSelmer totalt 266 ansatte, hvorav 43 kvinner (16</w:t>
      </w:r>
      <w:r w:rsidR="0054334B">
        <w:rPr>
          <w:lang w:val="nb-NO"/>
        </w:rPr>
        <w:t>,8</w:t>
      </w:r>
      <w:r w:rsidRPr="00B46CB3">
        <w:rPr>
          <w:lang w:val="nb-NO"/>
        </w:rPr>
        <w:t xml:space="preserve"> %) og 223 menn (84 %). Kvinneandelen har økt noe sammenlignet med året før, da den var 13%.</w:t>
      </w:r>
    </w:p>
    <w:p w14:paraId="681B2FE5" w14:textId="1FD058D4" w:rsidR="00071025" w:rsidRPr="00B46CB3" w:rsidRDefault="00AB0419" w:rsidP="00071025">
      <w:pPr>
        <w:pStyle w:val="Heading2"/>
        <w:rPr>
          <w:lang w:val="nb-NO"/>
        </w:rPr>
      </w:pPr>
      <w:r w:rsidRPr="00B46CB3">
        <w:rPr>
          <w:lang w:val="nb-NO"/>
        </w:rPr>
        <w:t>Midlertidig ansatte</w:t>
      </w:r>
      <w:r w:rsidR="00071025" w:rsidRPr="00071025">
        <w:rPr>
          <w:lang w:val="nb-NO"/>
        </w:rPr>
        <w:t xml:space="preserve"> </w:t>
      </w:r>
      <w:r w:rsidR="00071025">
        <w:rPr>
          <w:lang w:val="nb-NO"/>
        </w:rPr>
        <w:t>og a</w:t>
      </w:r>
      <w:r w:rsidR="00071025" w:rsidRPr="00B46CB3">
        <w:rPr>
          <w:lang w:val="nb-NO"/>
        </w:rPr>
        <w:t>nsatte i deltidsstillinger</w:t>
      </w:r>
    </w:p>
    <w:p w14:paraId="15F3C2A0" w14:textId="654E61D6" w:rsidR="00071025" w:rsidRPr="00071025" w:rsidRDefault="00071025" w:rsidP="00071025">
      <w:pPr>
        <w:rPr>
          <w:lang w:val="nb-NO"/>
        </w:rPr>
      </w:pPr>
      <w:r>
        <w:rPr>
          <w:lang w:val="nb-NO"/>
        </w:rPr>
        <w:t xml:space="preserve">1 2024 </w:t>
      </w:r>
      <w:r w:rsidRPr="00906D6A">
        <w:rPr>
          <w:lang w:val="nb-NO"/>
        </w:rPr>
        <w:t xml:space="preserve">hadde vi tre midlertidige </w:t>
      </w:r>
      <w:r w:rsidRPr="00D67713">
        <w:rPr>
          <w:lang w:val="nb-NO"/>
        </w:rPr>
        <w:t>ansatte</w:t>
      </w:r>
      <w:r>
        <w:rPr>
          <w:lang w:val="nb-NO"/>
        </w:rPr>
        <w:t xml:space="preserve"> og totalt fem ansatte arbeidet deltid i 2024, og samtlige var menn</w:t>
      </w:r>
      <w:r w:rsidR="005A0B49">
        <w:rPr>
          <w:lang w:val="nb-NO"/>
        </w:rPr>
        <w:t>.</w:t>
      </w:r>
    </w:p>
    <w:p w14:paraId="773A7B0B" w14:textId="77777777" w:rsidR="005E08BB" w:rsidRPr="00B46CB3" w:rsidRDefault="00AB0419">
      <w:pPr>
        <w:pStyle w:val="Heading2"/>
        <w:rPr>
          <w:lang w:val="nb-NO"/>
        </w:rPr>
      </w:pPr>
      <w:r w:rsidRPr="00B46CB3">
        <w:rPr>
          <w:lang w:val="nb-NO"/>
        </w:rPr>
        <w:t>Foreldrepermisjon</w:t>
      </w:r>
    </w:p>
    <w:p w14:paraId="198F5055" w14:textId="77777777" w:rsidR="005E08BB" w:rsidRPr="00B46CB3" w:rsidRDefault="00AB0419">
      <w:pPr>
        <w:rPr>
          <w:lang w:val="nb-NO"/>
        </w:rPr>
      </w:pPr>
      <w:r w:rsidRPr="00B46CB3">
        <w:rPr>
          <w:lang w:val="nb-NO"/>
        </w:rPr>
        <w:t>I 2024 tok menn i snitt 68 uker foreldrepermisjon, mens kvinner tok 26 uker. Tallene inkluderer både full og delvis permisjon, og kan gjenspeile variasjoner i familieforhold, roller og individuelle ønsker.</w:t>
      </w:r>
    </w:p>
    <w:tbl>
      <w:tblPr>
        <w:tblStyle w:val="Skjematabell1"/>
        <w:tblW w:w="8670"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958"/>
        <w:gridCol w:w="776"/>
        <w:gridCol w:w="958"/>
        <w:gridCol w:w="776"/>
        <w:gridCol w:w="958"/>
        <w:gridCol w:w="776"/>
        <w:gridCol w:w="958"/>
        <w:gridCol w:w="776"/>
        <w:gridCol w:w="958"/>
        <w:gridCol w:w="776"/>
      </w:tblGrid>
      <w:tr w:rsidR="00EB0A0F" w:rsidRPr="005A0B49" w14:paraId="2C799985" w14:textId="77777777" w:rsidTr="00EB0A0F">
        <w:trPr>
          <w:cnfStyle w:val="100000000000" w:firstRow="1" w:lastRow="0" w:firstColumn="0" w:lastColumn="0" w:oddVBand="0" w:evenVBand="0" w:oddHBand="0" w:evenHBand="0" w:firstRowFirstColumn="0" w:firstRowLastColumn="0" w:lastRowFirstColumn="0" w:lastRowLastColumn="0"/>
          <w:trHeight w:val="1476"/>
        </w:trPr>
        <w:tc>
          <w:tcPr>
            <w:tcW w:w="1734" w:type="dxa"/>
            <w:gridSpan w:val="2"/>
          </w:tcPr>
          <w:p w14:paraId="4B180786" w14:textId="77777777" w:rsidR="00EB0A0F" w:rsidRPr="00B46CB3" w:rsidRDefault="00EB0A0F" w:rsidP="000C4F9E">
            <w:pPr>
              <w:rPr>
                <w:color w:val="FFFFFF" w:themeColor="background1"/>
                <w:lang w:val="nb-NO"/>
              </w:rPr>
            </w:pPr>
            <w:r w:rsidRPr="00B46CB3">
              <w:rPr>
                <w:color w:val="FFFFFF" w:themeColor="background1"/>
                <w:sz w:val="22"/>
                <w:szCs w:val="22"/>
                <w:lang w:val="nb-NO"/>
              </w:rPr>
              <w:t xml:space="preserve">Kjønns-balanse* </w:t>
            </w:r>
            <w:r w:rsidRPr="00B46CB3">
              <w:rPr>
                <w:color w:val="FFFFFF" w:themeColor="background1"/>
                <w:sz w:val="22"/>
                <w:szCs w:val="22"/>
                <w:lang w:val="nb-NO"/>
              </w:rPr>
              <w:br/>
            </w:r>
            <w:r w:rsidRPr="00B46CB3">
              <w:rPr>
                <w:color w:val="FFFFFF" w:themeColor="background1"/>
                <w:sz w:val="22"/>
                <w:szCs w:val="22"/>
                <w:lang w:val="nb-NO"/>
              </w:rPr>
              <w:br/>
            </w:r>
            <w:r w:rsidRPr="00B46CB3">
              <w:rPr>
                <w:b w:val="0"/>
                <w:bCs/>
                <w:color w:val="FFFFFF" w:themeColor="background1"/>
                <w:sz w:val="16"/>
                <w:szCs w:val="16"/>
                <w:lang w:val="nb-NO"/>
              </w:rPr>
              <w:t>Oppgis i antall</w:t>
            </w:r>
          </w:p>
        </w:tc>
        <w:tc>
          <w:tcPr>
            <w:tcW w:w="1734" w:type="dxa"/>
            <w:gridSpan w:val="2"/>
          </w:tcPr>
          <w:p w14:paraId="73E5819C" w14:textId="77777777" w:rsidR="00EB0A0F" w:rsidRPr="00B46CB3" w:rsidRDefault="00EB0A0F" w:rsidP="000C4F9E">
            <w:pPr>
              <w:rPr>
                <w:b w:val="0"/>
                <w:color w:val="FFFFFF" w:themeColor="background1"/>
                <w:sz w:val="22"/>
                <w:szCs w:val="22"/>
                <w:lang w:val="nb-NO"/>
              </w:rPr>
            </w:pPr>
            <w:r w:rsidRPr="00B46CB3">
              <w:rPr>
                <w:color w:val="FFFFFF" w:themeColor="background1"/>
                <w:sz w:val="22"/>
                <w:szCs w:val="22"/>
                <w:lang w:val="nb-NO"/>
              </w:rPr>
              <w:t>Midlertidig ansatte*</w:t>
            </w:r>
            <w:r w:rsidRPr="00B46CB3">
              <w:rPr>
                <w:color w:val="FFFFFF" w:themeColor="background1"/>
                <w:sz w:val="22"/>
                <w:szCs w:val="22"/>
                <w:lang w:val="nb-NO"/>
              </w:rPr>
              <w:br/>
            </w:r>
          </w:p>
          <w:p w14:paraId="46AA2705" w14:textId="77777777" w:rsidR="00EB0A0F" w:rsidRPr="00B46CB3" w:rsidRDefault="00EB0A0F" w:rsidP="000C4F9E">
            <w:pPr>
              <w:rPr>
                <w:color w:val="FFFFFF" w:themeColor="background1"/>
                <w:lang w:val="nb-NO"/>
              </w:rPr>
            </w:pPr>
            <w:r w:rsidRPr="00B46CB3">
              <w:rPr>
                <w:b w:val="0"/>
                <w:bCs/>
                <w:color w:val="FFFFFF" w:themeColor="background1"/>
                <w:sz w:val="16"/>
                <w:szCs w:val="16"/>
                <w:lang w:val="nb-NO"/>
              </w:rPr>
              <w:t>Oppgis i antall eller prosentandel av alle ansatte</w:t>
            </w:r>
          </w:p>
        </w:tc>
        <w:tc>
          <w:tcPr>
            <w:tcW w:w="1734" w:type="dxa"/>
            <w:gridSpan w:val="2"/>
          </w:tcPr>
          <w:p w14:paraId="08A7D3A5" w14:textId="77777777" w:rsidR="00EB0A0F" w:rsidRPr="00B46CB3" w:rsidRDefault="00EB0A0F" w:rsidP="000C4F9E">
            <w:pPr>
              <w:rPr>
                <w:color w:val="FFFFFF" w:themeColor="background1"/>
                <w:sz w:val="22"/>
                <w:szCs w:val="22"/>
                <w:lang w:val="nb-NO"/>
              </w:rPr>
            </w:pPr>
            <w:r w:rsidRPr="00B46CB3">
              <w:rPr>
                <w:color w:val="FFFFFF" w:themeColor="background1"/>
                <w:sz w:val="22"/>
                <w:szCs w:val="22"/>
                <w:lang w:val="nb-NO"/>
              </w:rPr>
              <w:t>Foreldre-permisjon*</w:t>
            </w:r>
          </w:p>
          <w:p w14:paraId="296F18D7" w14:textId="77777777" w:rsidR="00EB0A0F" w:rsidRPr="00B46CB3" w:rsidRDefault="00EB0A0F" w:rsidP="000C4F9E">
            <w:pPr>
              <w:rPr>
                <w:b w:val="0"/>
                <w:bCs/>
                <w:color w:val="FFFFFF" w:themeColor="background1"/>
                <w:sz w:val="16"/>
                <w:szCs w:val="16"/>
                <w:lang w:val="nb-NO"/>
              </w:rPr>
            </w:pPr>
            <w:r w:rsidRPr="00B46CB3">
              <w:rPr>
                <w:b w:val="0"/>
                <w:bCs/>
                <w:color w:val="FFFFFF" w:themeColor="background1"/>
                <w:sz w:val="16"/>
                <w:szCs w:val="16"/>
                <w:lang w:val="nb-NO"/>
              </w:rPr>
              <w:t>Oppgis i gjennomsnitt antall uker</w:t>
            </w:r>
          </w:p>
        </w:tc>
        <w:tc>
          <w:tcPr>
            <w:tcW w:w="1734" w:type="dxa"/>
            <w:gridSpan w:val="2"/>
          </w:tcPr>
          <w:p w14:paraId="2618B6EA" w14:textId="77777777" w:rsidR="00EB0A0F" w:rsidRPr="00B46CB3" w:rsidRDefault="00EB0A0F" w:rsidP="000C4F9E">
            <w:pPr>
              <w:rPr>
                <w:b w:val="0"/>
                <w:color w:val="FFFFFF" w:themeColor="background1"/>
                <w:sz w:val="22"/>
                <w:szCs w:val="22"/>
                <w:lang w:val="nb-NO"/>
              </w:rPr>
            </w:pPr>
            <w:r w:rsidRPr="00B46CB3">
              <w:rPr>
                <w:color w:val="FFFFFF" w:themeColor="background1"/>
                <w:sz w:val="22"/>
                <w:szCs w:val="22"/>
                <w:lang w:val="nb-NO"/>
              </w:rPr>
              <w:t>Faktisk deltid*</w:t>
            </w:r>
          </w:p>
          <w:p w14:paraId="1D2DFB70" w14:textId="77777777" w:rsidR="00EB0A0F" w:rsidRPr="00B46CB3" w:rsidRDefault="00EB0A0F" w:rsidP="000C4F9E">
            <w:pPr>
              <w:rPr>
                <w:b w:val="0"/>
                <w:bCs/>
                <w:color w:val="FFFFFF" w:themeColor="background1"/>
                <w:szCs w:val="16"/>
                <w:lang w:val="nb-NO"/>
              </w:rPr>
            </w:pPr>
          </w:p>
          <w:p w14:paraId="0813B5A8" w14:textId="77777777" w:rsidR="00EB0A0F" w:rsidRPr="00B46CB3" w:rsidRDefault="00EB0A0F" w:rsidP="000C4F9E">
            <w:pPr>
              <w:rPr>
                <w:bCs/>
                <w:color w:val="FFFFFF" w:themeColor="background1"/>
                <w:sz w:val="16"/>
                <w:szCs w:val="16"/>
                <w:lang w:val="nb-NO"/>
              </w:rPr>
            </w:pPr>
            <w:r w:rsidRPr="00B46CB3">
              <w:rPr>
                <w:b w:val="0"/>
                <w:bCs/>
                <w:color w:val="FFFFFF" w:themeColor="background1"/>
                <w:sz w:val="16"/>
                <w:szCs w:val="16"/>
                <w:lang w:val="nb-NO"/>
              </w:rPr>
              <w:t>Oppgis i antall eller prosentandel av alle ansatte</w:t>
            </w:r>
          </w:p>
        </w:tc>
        <w:tc>
          <w:tcPr>
            <w:tcW w:w="1734" w:type="dxa"/>
            <w:gridSpan w:val="2"/>
          </w:tcPr>
          <w:p w14:paraId="772CA9D2" w14:textId="77777777" w:rsidR="00EB0A0F" w:rsidRPr="00B46CB3" w:rsidRDefault="00EB0A0F" w:rsidP="000C4F9E">
            <w:pPr>
              <w:rPr>
                <w:bCs/>
                <w:color w:val="FFFFFF" w:themeColor="background1"/>
                <w:sz w:val="22"/>
                <w:szCs w:val="22"/>
                <w:lang w:val="nb-NO"/>
              </w:rPr>
            </w:pPr>
            <w:r w:rsidRPr="00B46CB3">
              <w:rPr>
                <w:color w:val="FFFFFF" w:themeColor="background1"/>
                <w:sz w:val="22"/>
                <w:szCs w:val="22"/>
                <w:lang w:val="nb-NO"/>
              </w:rPr>
              <w:t>Ufrivillig deltid**</w:t>
            </w:r>
            <w:r w:rsidRPr="00B46CB3">
              <w:rPr>
                <w:color w:val="FFFFFF" w:themeColor="background1"/>
                <w:sz w:val="22"/>
                <w:szCs w:val="22"/>
                <w:lang w:val="nb-NO"/>
              </w:rPr>
              <w:br/>
            </w:r>
          </w:p>
          <w:p w14:paraId="077BDB8C" w14:textId="77777777" w:rsidR="00EB0A0F" w:rsidRPr="00B46CB3" w:rsidRDefault="00EB0A0F" w:rsidP="000C4F9E">
            <w:pPr>
              <w:rPr>
                <w:b w:val="0"/>
                <w:bCs/>
                <w:color w:val="FFFFFF" w:themeColor="background1"/>
                <w:szCs w:val="16"/>
                <w:lang w:val="nb-NO"/>
              </w:rPr>
            </w:pPr>
            <w:r w:rsidRPr="00B46CB3">
              <w:rPr>
                <w:b w:val="0"/>
                <w:bCs/>
                <w:color w:val="FFFFFF" w:themeColor="background1"/>
                <w:sz w:val="16"/>
                <w:szCs w:val="16"/>
                <w:lang w:val="nb-NO"/>
              </w:rPr>
              <w:t>Oppgis i antall eller prosentandel av alle ansatte</w:t>
            </w:r>
          </w:p>
        </w:tc>
      </w:tr>
      <w:tr w:rsidR="00EB0A0F" w:rsidRPr="00B46CB3" w14:paraId="10EAB42C" w14:textId="77777777" w:rsidTr="00EB0A0F">
        <w:trPr>
          <w:cnfStyle w:val="000000100000" w:firstRow="0" w:lastRow="0" w:firstColumn="0" w:lastColumn="0" w:oddVBand="0" w:evenVBand="0" w:oddHBand="1" w:evenHBand="0" w:firstRowFirstColumn="0" w:firstRowLastColumn="0" w:lastRowFirstColumn="0" w:lastRowLastColumn="0"/>
        </w:trPr>
        <w:tc>
          <w:tcPr>
            <w:tcW w:w="958" w:type="dxa"/>
            <w:shd w:val="clear" w:color="auto" w:fill="4F81BD" w:themeFill="accent1"/>
          </w:tcPr>
          <w:p w14:paraId="500343AE"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Kvinner</w:t>
            </w:r>
          </w:p>
        </w:tc>
        <w:tc>
          <w:tcPr>
            <w:tcW w:w="776" w:type="dxa"/>
            <w:shd w:val="clear" w:color="auto" w:fill="4F81BD" w:themeFill="accent1"/>
          </w:tcPr>
          <w:p w14:paraId="2848452D"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Menn</w:t>
            </w:r>
          </w:p>
        </w:tc>
        <w:tc>
          <w:tcPr>
            <w:tcW w:w="958" w:type="dxa"/>
            <w:shd w:val="clear" w:color="auto" w:fill="4F81BD" w:themeFill="accent1"/>
          </w:tcPr>
          <w:p w14:paraId="77929674"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Kvinner</w:t>
            </w:r>
          </w:p>
        </w:tc>
        <w:tc>
          <w:tcPr>
            <w:tcW w:w="776" w:type="dxa"/>
            <w:shd w:val="clear" w:color="auto" w:fill="4F81BD" w:themeFill="accent1"/>
          </w:tcPr>
          <w:p w14:paraId="4DA2C871"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Menn</w:t>
            </w:r>
          </w:p>
        </w:tc>
        <w:tc>
          <w:tcPr>
            <w:tcW w:w="958" w:type="dxa"/>
            <w:shd w:val="clear" w:color="auto" w:fill="4F81BD" w:themeFill="accent1"/>
          </w:tcPr>
          <w:p w14:paraId="78F06AE4"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Kvinner</w:t>
            </w:r>
          </w:p>
        </w:tc>
        <w:tc>
          <w:tcPr>
            <w:tcW w:w="776" w:type="dxa"/>
            <w:shd w:val="clear" w:color="auto" w:fill="4F81BD" w:themeFill="accent1"/>
          </w:tcPr>
          <w:p w14:paraId="3A41B6D9"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Menn</w:t>
            </w:r>
          </w:p>
        </w:tc>
        <w:tc>
          <w:tcPr>
            <w:tcW w:w="958" w:type="dxa"/>
            <w:shd w:val="clear" w:color="auto" w:fill="4F81BD" w:themeFill="accent1"/>
          </w:tcPr>
          <w:p w14:paraId="06106CCA"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Kvinner</w:t>
            </w:r>
          </w:p>
        </w:tc>
        <w:tc>
          <w:tcPr>
            <w:tcW w:w="776" w:type="dxa"/>
            <w:shd w:val="clear" w:color="auto" w:fill="4F81BD" w:themeFill="accent1"/>
          </w:tcPr>
          <w:p w14:paraId="3F2A3F93"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Menn</w:t>
            </w:r>
          </w:p>
        </w:tc>
        <w:tc>
          <w:tcPr>
            <w:tcW w:w="958" w:type="dxa"/>
            <w:shd w:val="clear" w:color="auto" w:fill="4F81BD" w:themeFill="accent1"/>
          </w:tcPr>
          <w:p w14:paraId="52D5BB19"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Kvinner</w:t>
            </w:r>
          </w:p>
        </w:tc>
        <w:tc>
          <w:tcPr>
            <w:tcW w:w="776" w:type="dxa"/>
            <w:shd w:val="clear" w:color="auto" w:fill="4F81BD" w:themeFill="accent1"/>
          </w:tcPr>
          <w:p w14:paraId="6C779FF8"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Menn</w:t>
            </w:r>
          </w:p>
        </w:tc>
      </w:tr>
      <w:tr w:rsidR="00EB0A0F" w:rsidRPr="00B46CB3" w14:paraId="10D04A4F" w14:textId="77777777" w:rsidTr="00EB0A0F">
        <w:trPr>
          <w:cnfStyle w:val="000000010000" w:firstRow="0" w:lastRow="0" w:firstColumn="0" w:lastColumn="0" w:oddVBand="0" w:evenVBand="0" w:oddHBand="0" w:evenHBand="1" w:firstRowFirstColumn="0" w:firstRowLastColumn="0" w:lastRowFirstColumn="0" w:lastRowLastColumn="0"/>
          <w:trHeight w:val="520"/>
        </w:trPr>
        <w:tc>
          <w:tcPr>
            <w:tcW w:w="958" w:type="dxa"/>
            <w:shd w:val="clear" w:color="auto" w:fill="4F81BD" w:themeFill="accent1"/>
          </w:tcPr>
          <w:p w14:paraId="170EB1B6"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43</w:t>
            </w:r>
          </w:p>
        </w:tc>
        <w:tc>
          <w:tcPr>
            <w:tcW w:w="776" w:type="dxa"/>
            <w:shd w:val="clear" w:color="auto" w:fill="4F81BD" w:themeFill="accent1"/>
          </w:tcPr>
          <w:p w14:paraId="29C44FA9"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223</w:t>
            </w:r>
          </w:p>
        </w:tc>
        <w:tc>
          <w:tcPr>
            <w:tcW w:w="958" w:type="dxa"/>
            <w:shd w:val="clear" w:color="auto" w:fill="4F81BD" w:themeFill="accent1"/>
          </w:tcPr>
          <w:p w14:paraId="6B30D73D"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0</w:t>
            </w:r>
          </w:p>
        </w:tc>
        <w:tc>
          <w:tcPr>
            <w:tcW w:w="776" w:type="dxa"/>
            <w:shd w:val="clear" w:color="auto" w:fill="4F81BD" w:themeFill="accent1"/>
          </w:tcPr>
          <w:p w14:paraId="4BBE3EFD" w14:textId="6A918879" w:rsidR="00EB0A0F" w:rsidRPr="00B46CB3" w:rsidRDefault="00AF50D0" w:rsidP="000C4F9E">
            <w:pPr>
              <w:rPr>
                <w:color w:val="FFFFFF" w:themeColor="background1"/>
                <w:sz w:val="18"/>
                <w:szCs w:val="18"/>
                <w:lang w:val="nb-NO"/>
              </w:rPr>
            </w:pPr>
            <w:r>
              <w:rPr>
                <w:color w:val="FFFFFF" w:themeColor="background1"/>
                <w:sz w:val="18"/>
                <w:szCs w:val="18"/>
                <w:lang w:val="nb-NO"/>
              </w:rPr>
              <w:t>3</w:t>
            </w:r>
          </w:p>
        </w:tc>
        <w:tc>
          <w:tcPr>
            <w:tcW w:w="958" w:type="dxa"/>
            <w:shd w:val="clear" w:color="auto" w:fill="4F81BD" w:themeFill="accent1"/>
          </w:tcPr>
          <w:p w14:paraId="7C843734" w14:textId="77777777" w:rsidR="00EB0A0F" w:rsidRDefault="00EB0A0F" w:rsidP="000C4F9E">
            <w:pPr>
              <w:rPr>
                <w:color w:val="FFFFFF" w:themeColor="background1"/>
                <w:sz w:val="18"/>
                <w:szCs w:val="18"/>
                <w:lang w:val="nb-NO"/>
              </w:rPr>
            </w:pPr>
            <w:r w:rsidRPr="00B46CB3">
              <w:rPr>
                <w:color w:val="FFFFFF" w:themeColor="background1"/>
                <w:sz w:val="18"/>
                <w:szCs w:val="18"/>
                <w:lang w:val="nb-NO"/>
              </w:rPr>
              <w:t xml:space="preserve">26 </w:t>
            </w:r>
          </w:p>
          <w:p w14:paraId="5C834541" w14:textId="2012639D"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uker</w:t>
            </w:r>
          </w:p>
        </w:tc>
        <w:tc>
          <w:tcPr>
            <w:tcW w:w="776" w:type="dxa"/>
            <w:shd w:val="clear" w:color="auto" w:fill="4F81BD" w:themeFill="accent1"/>
          </w:tcPr>
          <w:p w14:paraId="3304A42F" w14:textId="74B0073B"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68</w:t>
            </w:r>
            <w:r>
              <w:rPr>
                <w:color w:val="FFFFFF" w:themeColor="background1"/>
                <w:sz w:val="18"/>
                <w:szCs w:val="18"/>
                <w:lang w:val="nb-NO"/>
              </w:rPr>
              <w:t xml:space="preserve"> </w:t>
            </w:r>
            <w:r w:rsidRPr="00B46CB3">
              <w:rPr>
                <w:color w:val="FFFFFF" w:themeColor="background1"/>
                <w:sz w:val="18"/>
                <w:szCs w:val="18"/>
                <w:lang w:val="nb-NO"/>
              </w:rPr>
              <w:t>uker</w:t>
            </w:r>
          </w:p>
        </w:tc>
        <w:tc>
          <w:tcPr>
            <w:tcW w:w="958" w:type="dxa"/>
            <w:shd w:val="clear" w:color="auto" w:fill="4F81BD" w:themeFill="accent1"/>
          </w:tcPr>
          <w:p w14:paraId="541B632F"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0</w:t>
            </w:r>
          </w:p>
        </w:tc>
        <w:tc>
          <w:tcPr>
            <w:tcW w:w="776" w:type="dxa"/>
            <w:shd w:val="clear" w:color="auto" w:fill="4F81BD" w:themeFill="accent1"/>
          </w:tcPr>
          <w:p w14:paraId="39B8E02F"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5</w:t>
            </w:r>
          </w:p>
        </w:tc>
        <w:tc>
          <w:tcPr>
            <w:tcW w:w="958" w:type="dxa"/>
            <w:shd w:val="clear" w:color="auto" w:fill="4F81BD" w:themeFill="accent1"/>
          </w:tcPr>
          <w:p w14:paraId="047D4A50"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0</w:t>
            </w:r>
          </w:p>
        </w:tc>
        <w:tc>
          <w:tcPr>
            <w:tcW w:w="776" w:type="dxa"/>
            <w:shd w:val="clear" w:color="auto" w:fill="4F81BD" w:themeFill="accent1"/>
          </w:tcPr>
          <w:p w14:paraId="55988D5E" w14:textId="77777777" w:rsidR="00EB0A0F" w:rsidRPr="00B46CB3" w:rsidRDefault="00EB0A0F" w:rsidP="000C4F9E">
            <w:pPr>
              <w:rPr>
                <w:color w:val="FFFFFF" w:themeColor="background1"/>
                <w:sz w:val="18"/>
                <w:szCs w:val="18"/>
                <w:lang w:val="nb-NO"/>
              </w:rPr>
            </w:pPr>
            <w:r w:rsidRPr="00B46CB3">
              <w:rPr>
                <w:color w:val="FFFFFF" w:themeColor="background1"/>
                <w:sz w:val="18"/>
                <w:szCs w:val="18"/>
                <w:lang w:val="nb-NO"/>
              </w:rPr>
              <w:t>0</w:t>
            </w:r>
          </w:p>
        </w:tc>
      </w:tr>
    </w:tbl>
    <w:p w14:paraId="61F5E5CF" w14:textId="4E929FED" w:rsidR="00165093" w:rsidRDefault="00AB0419" w:rsidP="00165093">
      <w:pPr>
        <w:pStyle w:val="Heading2"/>
        <w:rPr>
          <w:lang w:val="nb-NO"/>
        </w:rPr>
      </w:pPr>
      <w:r w:rsidRPr="00B46CB3">
        <w:rPr>
          <w:lang w:val="nb-NO"/>
        </w:rPr>
        <w:lastRenderedPageBreak/>
        <w:t>Lønnskartlegging</w:t>
      </w:r>
      <w:r w:rsidR="00165093">
        <w:rPr>
          <w:lang w:val="nb-NO"/>
        </w:rPr>
        <w:t xml:space="preserve"> og k</w:t>
      </w:r>
      <w:r w:rsidR="00165093" w:rsidRPr="00B46CB3">
        <w:rPr>
          <w:lang w:val="nb-NO"/>
        </w:rPr>
        <w:t>jønnsfordeling på stillingsnivå</w:t>
      </w:r>
    </w:p>
    <w:p w14:paraId="1E6C2309" w14:textId="08C7E059" w:rsidR="00B46CB3" w:rsidRPr="00B46CB3" w:rsidRDefault="00B46CB3" w:rsidP="00B46CB3">
      <w:pPr>
        <w:pStyle w:val="Heading2"/>
        <w:rPr>
          <w:rFonts w:asciiTheme="minorHAnsi" w:eastAsiaTheme="minorEastAsia" w:hAnsiTheme="minorHAnsi" w:cstheme="minorBidi"/>
          <w:b w:val="0"/>
          <w:bCs w:val="0"/>
          <w:color w:val="auto"/>
          <w:sz w:val="22"/>
          <w:szCs w:val="22"/>
          <w:lang w:val="nb-NO"/>
        </w:rPr>
      </w:pPr>
      <w:r w:rsidRPr="00B46CB3">
        <w:rPr>
          <w:rFonts w:asciiTheme="minorHAnsi" w:eastAsiaTheme="minorEastAsia" w:hAnsiTheme="minorHAnsi" w:cstheme="minorBidi"/>
          <w:b w:val="0"/>
          <w:bCs w:val="0"/>
          <w:color w:val="auto"/>
          <w:sz w:val="22"/>
          <w:szCs w:val="22"/>
          <w:lang w:val="nb-NO"/>
        </w:rPr>
        <w:t>Lønnskartleggingen fra 2023 viste at kvinner i gjennomsnitt hadde 77% av menns lønn på sammenlignbare stillingsnivåer. Vi har i etterkant vurdert mulige årsaker til lønnsforskjellen. Noe av forskjellen kan forklares med forskjeller i ansiennitet og stillingsstørrelse. Det er likevel viktig for oss å sikre at sammenligningen av stillinger er korrekt og rettferdig.</w:t>
      </w:r>
    </w:p>
    <w:p w14:paraId="549D7164" w14:textId="1028E894" w:rsidR="00B46CB3" w:rsidRDefault="00B46CB3" w:rsidP="00B46CB3">
      <w:pPr>
        <w:pStyle w:val="Heading2"/>
        <w:rPr>
          <w:rFonts w:asciiTheme="minorHAnsi" w:eastAsiaTheme="minorEastAsia" w:hAnsiTheme="minorHAnsi" w:cstheme="minorBidi"/>
          <w:b w:val="0"/>
          <w:bCs w:val="0"/>
          <w:color w:val="auto"/>
          <w:sz w:val="22"/>
          <w:szCs w:val="22"/>
          <w:lang w:val="nb-NO"/>
        </w:rPr>
      </w:pPr>
      <w:r w:rsidRPr="00B46CB3">
        <w:rPr>
          <w:rFonts w:asciiTheme="minorHAnsi" w:eastAsiaTheme="minorEastAsia" w:hAnsiTheme="minorHAnsi" w:cstheme="minorBidi"/>
          <w:b w:val="0"/>
          <w:bCs w:val="0"/>
          <w:color w:val="auto"/>
          <w:sz w:val="22"/>
          <w:szCs w:val="22"/>
          <w:lang w:val="nb-NO"/>
        </w:rPr>
        <w:t>Ny kartlegging gjennomføres i 2025. Da vil vi se nærmere på og kvalitetssikre at stillingene som sammenlignes har likt ansvar og innhold, slik at resultatet blir mest mulig presist. Dersom vi fortsatt finner uforklarte lønnsforskjeller, vil vi vurdere tiltak for å utjevne disse</w:t>
      </w:r>
      <w:r w:rsidR="003F105E">
        <w:rPr>
          <w:rFonts w:asciiTheme="minorHAnsi" w:eastAsiaTheme="minorEastAsia" w:hAnsiTheme="minorHAnsi" w:cstheme="minorBidi"/>
          <w:b w:val="0"/>
          <w:bCs w:val="0"/>
          <w:color w:val="auto"/>
          <w:sz w:val="22"/>
          <w:szCs w:val="22"/>
          <w:lang w:val="nb-NO"/>
        </w:rPr>
        <w:t>.</w:t>
      </w:r>
    </w:p>
    <w:p w14:paraId="5093FB0A" w14:textId="6EB7CE3A" w:rsidR="005E08BB" w:rsidRPr="00B46CB3" w:rsidRDefault="00AB0419">
      <w:pPr>
        <w:pStyle w:val="Heading2"/>
        <w:rPr>
          <w:lang w:val="nb-NO"/>
        </w:rPr>
      </w:pPr>
      <w:r w:rsidRPr="00B46CB3">
        <w:rPr>
          <w:lang w:val="nb-NO"/>
        </w:rPr>
        <w:t>Kartlegging av ufrivillig deltid</w:t>
      </w:r>
    </w:p>
    <w:p w14:paraId="58128600" w14:textId="77777777" w:rsidR="005E08BB" w:rsidRPr="00B46CB3" w:rsidRDefault="00AB0419">
      <w:pPr>
        <w:rPr>
          <w:lang w:val="nb-NO"/>
        </w:rPr>
      </w:pPr>
      <w:r w:rsidRPr="00B46CB3">
        <w:rPr>
          <w:lang w:val="nb-NO"/>
        </w:rPr>
        <w:t>Kartlegging er gjennomført via medarbeiderundersøkelsen og medarbeidersamtaler. Ingen av de deltidsansatte har meldt om ufrivillig deltid.</w:t>
      </w:r>
    </w:p>
    <w:p w14:paraId="440D1746" w14:textId="77777777" w:rsidR="005E08BB" w:rsidRPr="00B46CB3" w:rsidRDefault="00AB0419">
      <w:pPr>
        <w:pStyle w:val="Heading1"/>
        <w:rPr>
          <w:lang w:val="nb-NO"/>
        </w:rPr>
      </w:pPr>
      <w:r w:rsidRPr="00B46CB3">
        <w:rPr>
          <w:lang w:val="nb-NO"/>
        </w:rPr>
        <w:t>Del 2: Vårt arbeid for likestilling og mot diskriminering</w:t>
      </w:r>
    </w:p>
    <w:p w14:paraId="4542A54E" w14:textId="77777777" w:rsidR="005E08BB" w:rsidRPr="00B46CB3" w:rsidRDefault="00AB0419">
      <w:pPr>
        <w:pStyle w:val="Heading2"/>
        <w:rPr>
          <w:lang w:val="nb-NO"/>
        </w:rPr>
      </w:pPr>
      <w:r w:rsidRPr="00B46CB3">
        <w:rPr>
          <w:lang w:val="nb-NO"/>
        </w:rPr>
        <w:t>Prinsipper, prosedyrer og standarder</w:t>
      </w:r>
    </w:p>
    <w:p w14:paraId="37111A9C" w14:textId="6A871A64" w:rsidR="00372FC8" w:rsidRDefault="00AB0419">
      <w:pPr>
        <w:rPr>
          <w:lang w:val="nb-NO"/>
        </w:rPr>
      </w:pPr>
      <w:proofErr w:type="spellStart"/>
      <w:r w:rsidRPr="00B46CB3">
        <w:rPr>
          <w:lang w:val="nb-NO"/>
        </w:rPr>
        <w:t>RøhneSelmer</w:t>
      </w:r>
      <w:r w:rsidR="002414C8">
        <w:rPr>
          <w:lang w:val="nb-NO"/>
        </w:rPr>
        <w:t>'</w:t>
      </w:r>
      <w:r w:rsidRPr="00B46CB3">
        <w:rPr>
          <w:lang w:val="nb-NO"/>
        </w:rPr>
        <w:t>s</w:t>
      </w:r>
      <w:proofErr w:type="spellEnd"/>
      <w:r w:rsidRPr="00B46CB3">
        <w:rPr>
          <w:lang w:val="nb-NO"/>
        </w:rPr>
        <w:t xml:space="preserve"> arbeid for likestilling og ikke-diskriminering er forankret i vår personalpolitikk og HMS-strategi. Vi arbeider for likebehandling uavhengig av kjønn, graviditet, foreldrepermisjon, omsorgsoppgaver, etnisitet, religion, livssyn, funksjonsnedsettelse, seksuell orientering, kjønnsidentitet og kjønnsuttrykk – og kombinasjoner av disse.</w:t>
      </w:r>
      <w:r w:rsidRPr="00B46CB3">
        <w:rPr>
          <w:lang w:val="nb-NO"/>
        </w:rPr>
        <w:br/>
      </w:r>
      <w:r w:rsidRPr="00B46CB3">
        <w:rPr>
          <w:lang w:val="nb-NO"/>
        </w:rPr>
        <w:br/>
        <w:t>Vi har retningslinjer for å forebygge og håndtere diskriminering, trakassering og seksuell trakassering. Disse er del av vårt varslingssystem. I løpet av 2025 skal vi etablere et anonymt og lett</w:t>
      </w:r>
      <w:r w:rsidR="003E063A">
        <w:rPr>
          <w:lang w:val="nb-NO"/>
        </w:rPr>
        <w:t>ere</w:t>
      </w:r>
      <w:r w:rsidRPr="00B46CB3">
        <w:rPr>
          <w:lang w:val="nb-NO"/>
        </w:rPr>
        <w:t xml:space="preserve"> tilgjengelig varslingssystem via HR-systemet Simployer.</w:t>
      </w:r>
      <w:r w:rsidRPr="00B46CB3">
        <w:rPr>
          <w:lang w:val="nb-NO"/>
        </w:rPr>
        <w:br/>
      </w:r>
      <w:r w:rsidRPr="00B46CB3">
        <w:rPr>
          <w:lang w:val="nb-NO"/>
        </w:rPr>
        <w:br/>
        <w:t>Rekrutteringsprosessene våre skal være profesjonelle, rettferdige og inkluderende. Maler for stillingsannonser er utformet for å fremme mangfold. Lønnspolitikken bygger på prinsippet om lik lønn for arbeid av lik verdi, og alle lønnsjusteringer dokumenteres og kvalitetssikres.</w:t>
      </w:r>
      <w:r w:rsidR="00BB13BE">
        <w:rPr>
          <w:lang w:val="nb-NO"/>
        </w:rPr>
        <w:t xml:space="preserve"> </w:t>
      </w:r>
      <w:r w:rsidR="00372FC8" w:rsidRPr="00372FC8">
        <w:rPr>
          <w:lang w:val="nb-NO"/>
        </w:rPr>
        <w:t>Tilgang til utviklingsmuligheter og intern mobilitet skal sikres for samtlige ansatte</w:t>
      </w:r>
      <w:r w:rsidR="00372FC8">
        <w:rPr>
          <w:lang w:val="nb-NO"/>
        </w:rPr>
        <w:t>.</w:t>
      </w:r>
    </w:p>
    <w:p w14:paraId="72C52446" w14:textId="268026AD" w:rsidR="00D0196B" w:rsidRDefault="00AB0419" w:rsidP="00D0196B">
      <w:pPr>
        <w:rPr>
          <w:lang w:val="nb-NO"/>
        </w:rPr>
      </w:pPr>
      <w:r w:rsidRPr="00B46CB3">
        <w:rPr>
          <w:lang w:val="nb-NO"/>
        </w:rPr>
        <w:t>HR gjennomgår status for likestilling og mangfold i samarbeid med ledergruppen</w:t>
      </w:r>
      <w:r w:rsidR="0052592C">
        <w:rPr>
          <w:lang w:val="nb-NO"/>
        </w:rPr>
        <w:t>.</w:t>
      </w:r>
      <w:r w:rsidR="007338C8">
        <w:rPr>
          <w:lang w:val="nb-NO"/>
        </w:rPr>
        <w:t xml:space="preserve"> </w:t>
      </w:r>
      <w:r w:rsidRPr="00B46CB3">
        <w:rPr>
          <w:lang w:val="nb-NO"/>
        </w:rPr>
        <w:t xml:space="preserve">AMU og tillitsvalgte. Arbeidet følges opp i ledermøter og </w:t>
      </w:r>
      <w:r w:rsidR="007338C8">
        <w:rPr>
          <w:lang w:val="nb-NO"/>
        </w:rPr>
        <w:t xml:space="preserve">den årlige medarbeidersamtalen og </w:t>
      </w:r>
      <w:r w:rsidRPr="00B46CB3">
        <w:rPr>
          <w:lang w:val="nb-NO"/>
        </w:rPr>
        <w:t>medarbeiderundersøkelser, og inngår som fast punkt i HRs årsplan.</w:t>
      </w:r>
    </w:p>
    <w:p w14:paraId="63A37045" w14:textId="14B4D51C" w:rsidR="00072663" w:rsidRDefault="007338C8" w:rsidP="00072663">
      <w:pPr>
        <w:rPr>
          <w:lang w:val="nb-NO"/>
        </w:rPr>
      </w:pPr>
      <w:r w:rsidRPr="007338C8">
        <w:rPr>
          <w:lang w:val="nb-NO"/>
        </w:rPr>
        <w:t xml:space="preserve">I 2024 har vi kartlagt kjønnsbalanse, permisjon, deltid og risiko for diskriminering, samt fysiske forhold ved enkelte lokasjoner. HR, AMU og ledere har analysert årsaker til funnene, særlig knyttet til lønn, kjønnsbalanse og utviklingsmuligheter. På bakgrunn av dette har vi iverksatt tiltak for mer inkluderende rekruttering, fleksibilitet, kompetanseheving og et styrket lederansvar. Tiltakene evalueres </w:t>
      </w:r>
      <w:r>
        <w:rPr>
          <w:lang w:val="nb-NO"/>
        </w:rPr>
        <w:t xml:space="preserve">helst fortløpende, men som hovedregel </w:t>
      </w:r>
      <w:r w:rsidRPr="007338C8">
        <w:rPr>
          <w:lang w:val="nb-NO"/>
        </w:rPr>
        <w:t xml:space="preserve">årlig, blant </w:t>
      </w:r>
      <w:r w:rsidRPr="007338C8">
        <w:rPr>
          <w:lang w:val="nb-NO"/>
        </w:rPr>
        <w:lastRenderedPageBreak/>
        <w:t xml:space="preserve">annet gjennom </w:t>
      </w:r>
      <w:r>
        <w:rPr>
          <w:lang w:val="nb-NO"/>
        </w:rPr>
        <w:t xml:space="preserve">medarbeidersamtaler, </w:t>
      </w:r>
      <w:r w:rsidRPr="007338C8">
        <w:rPr>
          <w:lang w:val="nb-NO"/>
        </w:rPr>
        <w:t>medarbeiderundersøkelsen og drøftinger i AMU og ledelsen.</w:t>
      </w:r>
    </w:p>
    <w:p w14:paraId="5C009072" w14:textId="1D26F81A" w:rsidR="00072663" w:rsidRPr="00072663" w:rsidRDefault="00072663" w:rsidP="00072663">
      <w:pPr>
        <w:rPr>
          <w:rFonts w:asciiTheme="majorHAnsi" w:eastAsiaTheme="majorEastAsia" w:hAnsiTheme="majorHAnsi" w:cstheme="majorBidi"/>
          <w:b/>
          <w:bCs/>
          <w:color w:val="4F81BD" w:themeColor="accent1"/>
          <w:sz w:val="26"/>
          <w:szCs w:val="26"/>
          <w:lang w:val="nb-NO"/>
        </w:rPr>
      </w:pPr>
      <w:r w:rsidRPr="00072663">
        <w:rPr>
          <w:rFonts w:asciiTheme="majorHAnsi" w:eastAsiaTheme="majorEastAsia" w:hAnsiTheme="majorHAnsi" w:cstheme="majorBidi"/>
          <w:b/>
          <w:bCs/>
          <w:color w:val="4F81BD" w:themeColor="accent1"/>
          <w:sz w:val="26"/>
          <w:szCs w:val="26"/>
          <w:lang w:val="nb-NO"/>
        </w:rPr>
        <w:t xml:space="preserve">Rekruttering </w:t>
      </w:r>
    </w:p>
    <w:p w14:paraId="7F882E26" w14:textId="189D69FE" w:rsidR="007338C8" w:rsidRDefault="003042CA" w:rsidP="007338C8">
      <w:pPr>
        <w:rPr>
          <w:lang w:val="nb-NO"/>
        </w:rPr>
      </w:pPr>
      <w:r>
        <w:rPr>
          <w:lang w:val="nb-NO"/>
        </w:rPr>
        <w:t xml:space="preserve">I bilbransjen er det sterk konkurranse om faglært arbeidskraft, særlig mekanikere. Med den raske utviklingen i bransjen og behovet for økt kompetanse innen elektrifisering og teknologi, er det fokus på å tiltrekke oss kandidater ved å være synlig og profesjonell. Det vil være enda viktigere å jobbe aktivt med mangfold og inkludering for å nå bredere søkergrupper. </w:t>
      </w:r>
    </w:p>
    <w:p w14:paraId="666F6202" w14:textId="347A928D" w:rsidR="003042CA" w:rsidRDefault="003042CA" w:rsidP="007338C8">
      <w:pPr>
        <w:rPr>
          <w:lang w:val="nb-NO"/>
        </w:rPr>
      </w:pPr>
      <w:r>
        <w:rPr>
          <w:lang w:val="nb-NO"/>
        </w:rPr>
        <w:t xml:space="preserve">Det er stor andel kvinner som søker på administrative stillinger, men det er fortsatt langt færre kvinnelige søkere til operative stillinger som blant annet mekanikere. </w:t>
      </w:r>
    </w:p>
    <w:p w14:paraId="3E5BFCF6" w14:textId="68B8C64A" w:rsidR="008E6DEF" w:rsidRDefault="008E6DEF">
      <w:pPr>
        <w:pStyle w:val="Heading2"/>
        <w:rPr>
          <w:rFonts w:asciiTheme="minorHAnsi" w:eastAsiaTheme="minorEastAsia" w:hAnsiTheme="minorHAnsi" w:cstheme="minorBidi"/>
          <w:b w:val="0"/>
          <w:bCs w:val="0"/>
          <w:color w:val="auto"/>
          <w:sz w:val="22"/>
          <w:szCs w:val="22"/>
          <w:lang w:val="nb-NO"/>
        </w:rPr>
      </w:pPr>
      <w:r w:rsidRPr="008E6DEF">
        <w:rPr>
          <w:rFonts w:asciiTheme="minorHAnsi" w:eastAsiaTheme="minorEastAsia" w:hAnsiTheme="minorHAnsi" w:cstheme="minorBidi"/>
          <w:b w:val="0"/>
          <w:bCs w:val="0"/>
          <w:color w:val="auto"/>
          <w:sz w:val="22"/>
          <w:szCs w:val="22"/>
          <w:lang w:val="nb-NO"/>
        </w:rPr>
        <w:t>Det er viktig</w:t>
      </w:r>
      <w:r w:rsidR="00657CC9">
        <w:rPr>
          <w:rFonts w:asciiTheme="minorHAnsi" w:eastAsiaTheme="minorEastAsia" w:hAnsiTheme="minorHAnsi" w:cstheme="minorBidi"/>
          <w:b w:val="0"/>
          <w:bCs w:val="0"/>
          <w:color w:val="auto"/>
          <w:sz w:val="22"/>
          <w:szCs w:val="22"/>
          <w:lang w:val="nb-NO"/>
        </w:rPr>
        <w:t xml:space="preserve"> for oss</w:t>
      </w:r>
      <w:r w:rsidRPr="008E6DEF">
        <w:rPr>
          <w:rFonts w:asciiTheme="minorHAnsi" w:eastAsiaTheme="minorEastAsia" w:hAnsiTheme="minorHAnsi" w:cstheme="minorBidi"/>
          <w:b w:val="0"/>
          <w:bCs w:val="0"/>
          <w:color w:val="auto"/>
          <w:sz w:val="22"/>
          <w:szCs w:val="22"/>
          <w:lang w:val="nb-NO"/>
        </w:rPr>
        <w:t xml:space="preserve"> å ha fokus på mangfold kontinuerlig, og ikke bare når det er markeringsdager</w:t>
      </w:r>
      <w:r>
        <w:rPr>
          <w:rFonts w:asciiTheme="minorHAnsi" w:eastAsiaTheme="minorEastAsia" w:hAnsiTheme="minorHAnsi" w:cstheme="minorBidi"/>
          <w:b w:val="0"/>
          <w:bCs w:val="0"/>
          <w:color w:val="auto"/>
          <w:sz w:val="22"/>
          <w:szCs w:val="22"/>
          <w:lang w:val="nb-NO"/>
        </w:rPr>
        <w:t xml:space="preserve"> som for eksempel kvinnedagen. </w:t>
      </w:r>
      <w:r w:rsidRPr="008E6DEF">
        <w:rPr>
          <w:rFonts w:asciiTheme="minorHAnsi" w:eastAsiaTheme="minorEastAsia" w:hAnsiTheme="minorHAnsi" w:cstheme="minorBidi"/>
          <w:b w:val="0"/>
          <w:bCs w:val="0"/>
          <w:color w:val="auto"/>
          <w:sz w:val="22"/>
          <w:szCs w:val="22"/>
          <w:lang w:val="nb-NO"/>
        </w:rPr>
        <w:t xml:space="preserve"> </w:t>
      </w:r>
      <w:r>
        <w:rPr>
          <w:rFonts w:asciiTheme="minorHAnsi" w:eastAsiaTheme="minorEastAsia" w:hAnsiTheme="minorHAnsi" w:cstheme="minorBidi"/>
          <w:b w:val="0"/>
          <w:bCs w:val="0"/>
          <w:color w:val="auto"/>
          <w:sz w:val="22"/>
          <w:szCs w:val="22"/>
          <w:lang w:val="nb-NO"/>
        </w:rPr>
        <w:t>K</w:t>
      </w:r>
      <w:r w:rsidRPr="008E6DEF">
        <w:rPr>
          <w:rFonts w:asciiTheme="minorHAnsi" w:eastAsiaTheme="minorEastAsia" w:hAnsiTheme="minorHAnsi" w:cstheme="minorBidi"/>
          <w:b w:val="0"/>
          <w:bCs w:val="0"/>
          <w:color w:val="auto"/>
          <w:sz w:val="22"/>
          <w:szCs w:val="22"/>
          <w:lang w:val="nb-NO"/>
        </w:rPr>
        <w:t>vinneandel</w:t>
      </w:r>
      <w:r>
        <w:rPr>
          <w:rFonts w:asciiTheme="minorHAnsi" w:eastAsiaTheme="minorEastAsia" w:hAnsiTheme="minorHAnsi" w:cstheme="minorBidi"/>
          <w:b w:val="0"/>
          <w:bCs w:val="0"/>
          <w:color w:val="auto"/>
          <w:sz w:val="22"/>
          <w:szCs w:val="22"/>
          <w:lang w:val="nb-NO"/>
        </w:rPr>
        <w:t xml:space="preserve">en økte fra 2023 på 13 % til </w:t>
      </w:r>
      <w:r w:rsidRPr="008E6DEF">
        <w:rPr>
          <w:rFonts w:asciiTheme="minorHAnsi" w:eastAsiaTheme="minorEastAsia" w:hAnsiTheme="minorHAnsi" w:cstheme="minorBidi"/>
          <w:b w:val="0"/>
          <w:bCs w:val="0"/>
          <w:color w:val="auto"/>
          <w:sz w:val="22"/>
          <w:szCs w:val="22"/>
          <w:lang w:val="nb-NO"/>
        </w:rPr>
        <w:t>16,8%</w:t>
      </w:r>
      <w:r>
        <w:rPr>
          <w:rFonts w:asciiTheme="minorHAnsi" w:eastAsiaTheme="minorEastAsia" w:hAnsiTheme="minorHAnsi" w:cstheme="minorBidi"/>
          <w:b w:val="0"/>
          <w:bCs w:val="0"/>
          <w:color w:val="auto"/>
          <w:sz w:val="22"/>
          <w:szCs w:val="22"/>
          <w:lang w:val="nb-NO"/>
        </w:rPr>
        <w:t xml:space="preserve"> i 2024, men dette tallet har vi som mål å øke. </w:t>
      </w:r>
      <w:r w:rsidRPr="008E6DEF">
        <w:rPr>
          <w:rFonts w:asciiTheme="minorHAnsi" w:eastAsiaTheme="minorEastAsia" w:hAnsiTheme="minorHAnsi" w:cstheme="minorBidi"/>
          <w:b w:val="0"/>
          <w:bCs w:val="0"/>
          <w:color w:val="auto"/>
          <w:sz w:val="22"/>
          <w:szCs w:val="22"/>
          <w:lang w:val="nb-NO"/>
        </w:rPr>
        <w:t>Det jobbes aktivt med å tiltrekke flere kvinner til bilbransjen, blant annet ved å oppfordre kvinner til å søke i våre stillingsannonser. I 2025 vil vi også ha fokus på å endre stillingstitler som tradisjonelt har vært mannsdominerte, til mer kjønnsnøytrale begreper.</w:t>
      </w:r>
    </w:p>
    <w:p w14:paraId="767F691B" w14:textId="77777777" w:rsidR="008E6DEF" w:rsidRPr="008E6DEF" w:rsidRDefault="008E6DEF" w:rsidP="008E6DEF">
      <w:pPr>
        <w:rPr>
          <w:lang w:val="nb-NO"/>
        </w:rPr>
      </w:pPr>
    </w:p>
    <w:p w14:paraId="748D01C8" w14:textId="77777777" w:rsidR="00A01BC0" w:rsidRDefault="00A01BC0">
      <w:pPr>
        <w:rPr>
          <w:rFonts w:asciiTheme="majorHAnsi" w:eastAsiaTheme="majorEastAsia" w:hAnsiTheme="majorHAnsi" w:cstheme="majorBidi"/>
          <w:b/>
          <w:bCs/>
          <w:color w:val="4F81BD" w:themeColor="accent1"/>
          <w:sz w:val="26"/>
          <w:szCs w:val="26"/>
          <w:lang w:val="nb-NO"/>
        </w:rPr>
      </w:pPr>
      <w:r w:rsidRPr="00A01BC0">
        <w:rPr>
          <w:rFonts w:asciiTheme="majorHAnsi" w:eastAsiaTheme="majorEastAsia" w:hAnsiTheme="majorHAnsi" w:cstheme="majorBidi"/>
          <w:b/>
          <w:bCs/>
          <w:color w:val="4F81BD" w:themeColor="accent1"/>
          <w:sz w:val="26"/>
          <w:szCs w:val="26"/>
          <w:lang w:val="nb-NO"/>
        </w:rPr>
        <w:t>Slik har vi jobbet i 2024 for å avdekke og forebygge hindringer for likestilling</w:t>
      </w:r>
    </w:p>
    <w:p w14:paraId="2B1227BA" w14:textId="693A1A94" w:rsidR="0004389B" w:rsidRPr="00764B50" w:rsidRDefault="00AB0419">
      <w:pPr>
        <w:rPr>
          <w:lang w:val="nb-NO"/>
        </w:rPr>
      </w:pPr>
      <w:r w:rsidRPr="00B46CB3">
        <w:rPr>
          <w:lang w:val="nb-NO"/>
        </w:rPr>
        <w:t>I løpet av året har vi</w:t>
      </w:r>
      <w:r w:rsidR="00871296">
        <w:rPr>
          <w:lang w:val="nb-NO"/>
        </w:rPr>
        <w:t>,</w:t>
      </w:r>
      <w:r w:rsidRPr="00B46CB3">
        <w:rPr>
          <w:lang w:val="nb-NO"/>
        </w:rPr>
        <w:t xml:space="preserve"> HR, AMU og </w:t>
      </w:r>
      <w:r w:rsidR="0054334B">
        <w:rPr>
          <w:lang w:val="nb-NO"/>
        </w:rPr>
        <w:t xml:space="preserve">i samarbeid med </w:t>
      </w:r>
      <w:r w:rsidRPr="00B46CB3">
        <w:rPr>
          <w:lang w:val="nb-NO"/>
        </w:rPr>
        <w:t xml:space="preserve">bedriftshelsetjenesten </w:t>
      </w:r>
      <w:proofErr w:type="spellStart"/>
      <w:r w:rsidRPr="00B46CB3">
        <w:rPr>
          <w:lang w:val="nb-NO"/>
        </w:rPr>
        <w:t>Avonova</w:t>
      </w:r>
      <w:proofErr w:type="spellEnd"/>
      <w:r w:rsidRPr="00B46CB3">
        <w:rPr>
          <w:lang w:val="nb-NO"/>
        </w:rPr>
        <w:t xml:space="preserve"> gjennomført en vurdering av våre rutiner og praksiser innen rekruttering, lønn, permisjon, utviklingsmuligheter og tilrettelegging. Vi har også vurdert fysiske arbeidsforhold med </w:t>
      </w:r>
      <w:r w:rsidRPr="00764B50">
        <w:rPr>
          <w:lang w:val="nb-NO"/>
        </w:rPr>
        <w:t>tanke på universell utforming.</w:t>
      </w:r>
      <w:r w:rsidR="0012235A" w:rsidRPr="00764B50">
        <w:rPr>
          <w:lang w:val="nb-NO"/>
        </w:rPr>
        <w:t xml:space="preserve"> </w:t>
      </w:r>
      <w:r w:rsidR="0004389B" w:rsidRPr="00764B50">
        <w:rPr>
          <w:lang w:val="nb-NO"/>
        </w:rPr>
        <w:t>Vurderingene har gitt oss nyttig innsikt og ført til noen forbedringer. Vi har justert språkbruken i stillingsannonser for å gjøre dem mer inkluderende, med spesielt oppfordring til at kvinner burde søke, og tydeliggjort interne utviklingsmuligheter.</w:t>
      </w:r>
    </w:p>
    <w:p w14:paraId="56BFBCDE" w14:textId="53A99050" w:rsidR="005E08BB" w:rsidRPr="00764B50" w:rsidRDefault="00AB0419">
      <w:pPr>
        <w:rPr>
          <w:lang w:val="nb-NO"/>
        </w:rPr>
      </w:pPr>
      <w:r w:rsidRPr="00764B50">
        <w:rPr>
          <w:lang w:val="nb-NO"/>
        </w:rPr>
        <w:br/>
        <w:t>Innsikten fra medarbeiderundersøkelsen, som inneholdt spørsmål om inkludering, rettferdig behandling og kjennskap til varslingssystemet, har gitt oss et godt grunnlag for videre utvikling.</w:t>
      </w:r>
      <w:r w:rsidR="007D5DCB" w:rsidRPr="00764B50">
        <w:rPr>
          <w:lang w:val="nb-NO"/>
        </w:rPr>
        <w:t xml:space="preserve"> </w:t>
      </w:r>
      <w:r w:rsidR="00906D6A" w:rsidRPr="00764B50">
        <w:rPr>
          <w:lang w:val="nb-NO"/>
        </w:rPr>
        <w:t>Arbeidet har gitt oss bedre forståelse for hvilke forhold i virksomheten som kan hindre like muligheter for alle ansatt</w:t>
      </w:r>
      <w:r w:rsidR="0004389B" w:rsidRPr="00764B50">
        <w:rPr>
          <w:lang w:val="nb-NO"/>
        </w:rPr>
        <w:t xml:space="preserve">e. </w:t>
      </w:r>
      <w:r w:rsidR="00906D6A" w:rsidRPr="00764B50">
        <w:rPr>
          <w:lang w:val="nb-NO"/>
        </w:rPr>
        <w:t>Det har blant annet ført til tiltak for mer inkluderende rekruttering</w:t>
      </w:r>
      <w:r w:rsidR="0004389B" w:rsidRPr="00764B50">
        <w:rPr>
          <w:lang w:val="nb-NO"/>
        </w:rPr>
        <w:t xml:space="preserve"> og </w:t>
      </w:r>
      <w:r w:rsidR="00906D6A" w:rsidRPr="00764B50">
        <w:rPr>
          <w:lang w:val="nb-NO"/>
        </w:rPr>
        <w:t>tydeligere interne karrieremuligheter ved</w:t>
      </w:r>
      <w:r w:rsidR="0004389B" w:rsidRPr="00764B50">
        <w:rPr>
          <w:lang w:val="nb-NO"/>
        </w:rPr>
        <w:t xml:space="preserve"> blant annet</w:t>
      </w:r>
      <w:r w:rsidR="00906D6A" w:rsidRPr="00764B50">
        <w:rPr>
          <w:lang w:val="nb-NO"/>
        </w:rPr>
        <w:t xml:space="preserve"> at ikke alle stillinger har blitt utlyst ekstern og da kun internt. </w:t>
      </w:r>
    </w:p>
    <w:p w14:paraId="14BD63E6" w14:textId="77777777" w:rsidR="005E08BB" w:rsidRPr="00B46CB3" w:rsidRDefault="00AB0419">
      <w:pPr>
        <w:pStyle w:val="Heading2"/>
        <w:rPr>
          <w:lang w:val="nb-NO"/>
        </w:rPr>
      </w:pPr>
      <w:r w:rsidRPr="00B46CB3">
        <w:rPr>
          <w:lang w:val="nb-NO"/>
        </w:rPr>
        <w:t>Struktur for arbeidet med likestilling</w:t>
      </w:r>
    </w:p>
    <w:p w14:paraId="40AE1A77" w14:textId="40B97D44" w:rsidR="005E08BB" w:rsidRPr="005A0B49" w:rsidRDefault="00AB0419">
      <w:pPr>
        <w:rPr>
          <w:lang w:val="nb-NO"/>
        </w:rPr>
      </w:pPr>
      <w:r w:rsidRPr="00B46CB3">
        <w:rPr>
          <w:lang w:val="nb-NO"/>
        </w:rPr>
        <w:t>- HR har hovedansvaret for koordinering</w:t>
      </w:r>
      <w:r w:rsidRPr="00B46CB3">
        <w:rPr>
          <w:lang w:val="nb-NO"/>
        </w:rPr>
        <w:br/>
        <w:t>- Tillitsvalgte og AMU involveres aktivt</w:t>
      </w:r>
      <w:r w:rsidRPr="00B46CB3">
        <w:rPr>
          <w:lang w:val="nb-NO"/>
        </w:rPr>
        <w:br/>
        <w:t>- Leder</w:t>
      </w:r>
      <w:r w:rsidR="00072663">
        <w:rPr>
          <w:lang w:val="nb-NO"/>
        </w:rPr>
        <w:t>e i selskapet</w:t>
      </w:r>
      <w:r w:rsidRPr="00B46CB3">
        <w:rPr>
          <w:lang w:val="nb-NO"/>
        </w:rPr>
        <w:t xml:space="preserve"> følger opp resultater og tiltak</w:t>
      </w:r>
      <w:r w:rsidRPr="00B46CB3">
        <w:rPr>
          <w:lang w:val="nb-NO"/>
        </w:rPr>
        <w:br/>
        <w:t>- Temaet inngår som fast punkt i relevante fora som ledermøter og AM</w:t>
      </w:r>
      <w:r w:rsidRPr="005A0B49">
        <w:rPr>
          <w:lang w:val="nb-NO"/>
        </w:rPr>
        <w:t>U</w:t>
      </w:r>
    </w:p>
    <w:sectPr w:rsidR="005E08BB" w:rsidRPr="005A0B49"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19F2F" w14:textId="77777777" w:rsidR="007C0494" w:rsidRDefault="007C0494" w:rsidP="00B46CB3">
      <w:pPr>
        <w:spacing w:after="0" w:line="240" w:lineRule="auto"/>
      </w:pPr>
      <w:r>
        <w:separator/>
      </w:r>
    </w:p>
  </w:endnote>
  <w:endnote w:type="continuationSeparator" w:id="0">
    <w:p w14:paraId="56969E58" w14:textId="77777777" w:rsidR="007C0494" w:rsidRDefault="007C0494" w:rsidP="00B4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B59C" w14:textId="77777777" w:rsidR="007C0494" w:rsidRDefault="007C0494" w:rsidP="00B46CB3">
      <w:pPr>
        <w:spacing w:after="0" w:line="240" w:lineRule="auto"/>
      </w:pPr>
      <w:r>
        <w:separator/>
      </w:r>
    </w:p>
  </w:footnote>
  <w:footnote w:type="continuationSeparator" w:id="0">
    <w:p w14:paraId="275F60F8" w14:textId="77777777" w:rsidR="007C0494" w:rsidRDefault="007C0494" w:rsidP="00B4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F83CDE"/>
    <w:multiLevelType w:val="hybridMultilevel"/>
    <w:tmpl w:val="1FD485D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4E0267CC"/>
    <w:multiLevelType w:val="hybridMultilevel"/>
    <w:tmpl w:val="8D5809CC"/>
    <w:lvl w:ilvl="0" w:tplc="E408902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9CA2816"/>
    <w:multiLevelType w:val="hybridMultilevel"/>
    <w:tmpl w:val="29AC06A4"/>
    <w:lvl w:ilvl="0" w:tplc="E408902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3241748">
    <w:abstractNumId w:val="8"/>
  </w:num>
  <w:num w:numId="2" w16cid:durableId="1340892429">
    <w:abstractNumId w:val="6"/>
  </w:num>
  <w:num w:numId="3" w16cid:durableId="1309284266">
    <w:abstractNumId w:val="5"/>
  </w:num>
  <w:num w:numId="4" w16cid:durableId="1384788612">
    <w:abstractNumId w:val="4"/>
  </w:num>
  <w:num w:numId="5" w16cid:durableId="1893226646">
    <w:abstractNumId w:val="7"/>
  </w:num>
  <w:num w:numId="6" w16cid:durableId="1976016">
    <w:abstractNumId w:val="3"/>
  </w:num>
  <w:num w:numId="7" w16cid:durableId="905068610">
    <w:abstractNumId w:val="2"/>
  </w:num>
  <w:num w:numId="8" w16cid:durableId="261494869">
    <w:abstractNumId w:val="1"/>
  </w:num>
  <w:num w:numId="9" w16cid:durableId="999967522">
    <w:abstractNumId w:val="0"/>
  </w:num>
  <w:num w:numId="10" w16cid:durableId="1494297271">
    <w:abstractNumId w:val="9"/>
  </w:num>
  <w:num w:numId="11" w16cid:durableId="1264917660">
    <w:abstractNumId w:val="10"/>
  </w:num>
  <w:num w:numId="12" w16cid:durableId="869221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131"/>
    <w:rsid w:val="0004389B"/>
    <w:rsid w:val="0006063C"/>
    <w:rsid w:val="00071025"/>
    <w:rsid w:val="00072663"/>
    <w:rsid w:val="000C234A"/>
    <w:rsid w:val="00104C3A"/>
    <w:rsid w:val="0012235A"/>
    <w:rsid w:val="0014412D"/>
    <w:rsid w:val="0015074B"/>
    <w:rsid w:val="00165093"/>
    <w:rsid w:val="002347AD"/>
    <w:rsid w:val="002414C8"/>
    <w:rsid w:val="00270A9F"/>
    <w:rsid w:val="00285114"/>
    <w:rsid w:val="0029639D"/>
    <w:rsid w:val="002B766E"/>
    <w:rsid w:val="002C62FA"/>
    <w:rsid w:val="002E0988"/>
    <w:rsid w:val="003042CA"/>
    <w:rsid w:val="00326F90"/>
    <w:rsid w:val="00372FC8"/>
    <w:rsid w:val="003823CF"/>
    <w:rsid w:val="003A1CC9"/>
    <w:rsid w:val="003E063A"/>
    <w:rsid w:val="003F105E"/>
    <w:rsid w:val="004569BC"/>
    <w:rsid w:val="004C6AA2"/>
    <w:rsid w:val="004F50FA"/>
    <w:rsid w:val="0052592C"/>
    <w:rsid w:val="0054334B"/>
    <w:rsid w:val="005623D4"/>
    <w:rsid w:val="005A0B49"/>
    <w:rsid w:val="005E08BB"/>
    <w:rsid w:val="00657CC9"/>
    <w:rsid w:val="007338C8"/>
    <w:rsid w:val="007441C9"/>
    <w:rsid w:val="00764B50"/>
    <w:rsid w:val="007C0494"/>
    <w:rsid w:val="007D4E1E"/>
    <w:rsid w:val="007D5DCB"/>
    <w:rsid w:val="00871296"/>
    <w:rsid w:val="008E6DEF"/>
    <w:rsid w:val="00906D6A"/>
    <w:rsid w:val="009675E7"/>
    <w:rsid w:val="009E5A5A"/>
    <w:rsid w:val="00A01BC0"/>
    <w:rsid w:val="00AA1D8D"/>
    <w:rsid w:val="00AB0419"/>
    <w:rsid w:val="00AF50D0"/>
    <w:rsid w:val="00B16B0C"/>
    <w:rsid w:val="00B456B0"/>
    <w:rsid w:val="00B466A0"/>
    <w:rsid w:val="00B46CB3"/>
    <w:rsid w:val="00B47730"/>
    <w:rsid w:val="00BB13BE"/>
    <w:rsid w:val="00CB0664"/>
    <w:rsid w:val="00CE37DD"/>
    <w:rsid w:val="00D0196B"/>
    <w:rsid w:val="00D04295"/>
    <w:rsid w:val="00D142E8"/>
    <w:rsid w:val="00D67713"/>
    <w:rsid w:val="00D9051F"/>
    <w:rsid w:val="00E0605C"/>
    <w:rsid w:val="00E768A2"/>
    <w:rsid w:val="00EA66BD"/>
    <w:rsid w:val="00EB0A0F"/>
    <w:rsid w:val="00F22940"/>
    <w:rsid w:val="00FA28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A56F5"/>
  <w14:defaultImageDpi w14:val="330"/>
  <w15:docId w15:val="{BFFB36D6-EB2B-487D-A86C-13873528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Skjematabell1">
    <w:name w:val="Skjematabell1"/>
    <w:basedOn w:val="TableNormal"/>
    <w:uiPriority w:val="99"/>
    <w:rsid w:val="00B46CB3"/>
    <w:pPr>
      <w:spacing w:after="0" w:line="240" w:lineRule="auto"/>
    </w:pPr>
    <w:rPr>
      <w:rFonts w:eastAsiaTheme="minorHAnsi"/>
      <w:color w:val="1F497D" w:themeColor="text2"/>
      <w:sz w:val="20"/>
      <w:szCs w:val="20"/>
    </w:rPr>
    <w:tblPr>
      <w:tblStyleRow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142" w:type="dxa"/>
        <w:left w:w="170" w:type="dxa"/>
        <w:bottom w:w="85" w:type="dxa"/>
        <w:right w:w="170" w:type="dxa"/>
      </w:tblCellMar>
    </w:tblPr>
    <w:tblStylePr w:type="firstRow">
      <w:rPr>
        <w:b/>
        <w:color w:val="000000" w:themeColor="text1"/>
      </w:rPr>
      <w:tblPr/>
      <w:tcPr>
        <w:shd w:val="clear" w:color="auto" w:fill="4F81BD" w:themeFill="accent1"/>
      </w:tcPr>
    </w:tblStylePr>
    <w:tblStylePr w:type="band1Horz">
      <w:tblPr/>
      <w:tcPr>
        <w:shd w:val="clear" w:color="auto" w:fill="DAE5DF"/>
      </w:tcPr>
    </w:tblStylePr>
    <w:tblStylePr w:type="band2Horz">
      <w:tblPr/>
      <w:tcPr>
        <w:shd w:val="clear" w:color="auto" w:fill="F3F7F4"/>
      </w:tcPr>
    </w:tblStylePr>
  </w:style>
  <w:style w:type="paragraph" w:styleId="Revision">
    <w:name w:val="Revision"/>
    <w:hidden/>
    <w:uiPriority w:val="99"/>
    <w:semiHidden/>
    <w:rsid w:val="00525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24acc2-d557-4c86-b474-d8cf7e0a0de2">
      <Terms xmlns="http://schemas.microsoft.com/office/infopath/2007/PartnerControls"/>
    </lcf76f155ced4ddcb4097134ff3c332f>
    <TaxCatchAll xmlns="9c7459a6-e2bf-4533-b826-7cfbeeba5b3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FB37913DEB34EA00FDA3F978B357C" ma:contentTypeVersion="12" ma:contentTypeDescription="Create a new document." ma:contentTypeScope="" ma:versionID="630a5811b1d37eec34057ef57e9f6160">
  <xsd:schema xmlns:xsd="http://www.w3.org/2001/XMLSchema" xmlns:xs="http://www.w3.org/2001/XMLSchema" xmlns:p="http://schemas.microsoft.com/office/2006/metadata/properties" xmlns:ns2="8524acc2-d557-4c86-b474-d8cf7e0a0de2" xmlns:ns3="9c7459a6-e2bf-4533-b826-7cfbeeba5b3d" targetNamespace="http://schemas.microsoft.com/office/2006/metadata/properties" ma:root="true" ma:fieldsID="da7380c903ec54c726e27702c46b95b9" ns2:_="" ns3:_="">
    <xsd:import namespace="8524acc2-d557-4c86-b474-d8cf7e0a0de2"/>
    <xsd:import namespace="9c7459a6-e2bf-4533-b826-7cfbeeba5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acc2-d557-4c86-b474-d8cf7e0a0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e0abbc-4500-4f9a-97b1-fed5be8141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59a6-e2bf-4533-b826-7cfbeeba5b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b2a3c-5c92-4e9e-8a11-0efc7947cacc}" ma:internalName="TaxCatchAll" ma:showField="CatchAllData" ma:web="9c7459a6-e2bf-4533-b826-7cfbeeba5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E3E0-15D6-41E2-A6D2-DE4DE71FA4DD}">
  <ds:schemaRefs>
    <ds:schemaRef ds:uri="http://schemas.microsoft.com/office/2006/metadata/properties"/>
    <ds:schemaRef ds:uri="http://schemas.microsoft.com/office/infopath/2007/PartnerControls"/>
    <ds:schemaRef ds:uri="8524acc2-d557-4c86-b474-d8cf7e0a0de2"/>
    <ds:schemaRef ds:uri="9c7459a6-e2bf-4533-b826-7cfbeeba5b3d"/>
  </ds:schemaRefs>
</ds:datastoreItem>
</file>

<file path=customXml/itemProps2.xml><?xml version="1.0" encoding="utf-8"?>
<ds:datastoreItem xmlns:ds="http://schemas.openxmlformats.org/officeDocument/2006/customXml" ds:itemID="{490A52A2-F442-488A-9284-DEE1F9C4787D}">
  <ds:schemaRefs>
    <ds:schemaRef ds:uri="http://schemas.microsoft.com/sharepoint/v3/contenttype/forms"/>
  </ds:schemaRefs>
</ds:datastoreItem>
</file>

<file path=customXml/itemProps3.xml><?xml version="1.0" encoding="utf-8"?>
<ds:datastoreItem xmlns:ds="http://schemas.openxmlformats.org/officeDocument/2006/customXml" ds:itemID="{6D517BFE-32C2-4E6B-AC5D-76434ABE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4acc2-d557-4c86-b474-d8cf7e0a0de2"/>
    <ds:schemaRef ds:uri="9c7459a6-e2bf-4533-b826-7cfbeeba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5311</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Niclas Hordnes</cp:lastModifiedBy>
  <cp:revision>2</cp:revision>
  <dcterms:created xsi:type="dcterms:W3CDTF">2025-06-04T11:12:00Z</dcterms:created>
  <dcterms:modified xsi:type="dcterms:W3CDTF">2025-06-04T11:12:00Z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0x010100C0CFB37913DEB34EA00FDA3F978B357C</vt:lpwstr>
  </property>
</Properties>
</file>